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CB2D0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326480F2" w14:textId="6F8569BE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D3009E">
        <w:rPr>
          <w:i/>
          <w:lang w:val="kk-KZ"/>
        </w:rPr>
        <w:t>1</w:t>
      </w:r>
      <w:r w:rsidR="00103E0D">
        <w:rPr>
          <w:i/>
          <w:lang w:val="kk-KZ"/>
        </w:rPr>
        <w:t>5</w:t>
      </w:r>
    </w:p>
    <w:p w14:paraId="54B3A445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5708E245" w14:textId="2A37794A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  <w:r w:rsidR="00D3009E">
        <w:rPr>
          <w:b/>
        </w:rPr>
        <w:t xml:space="preserve"> по Лоту № 1</w:t>
      </w:r>
    </w:p>
    <w:p w14:paraId="0ADD60A3" w14:textId="77777777" w:rsidR="007B6BEC" w:rsidRDefault="007B6BEC" w:rsidP="007B6BEC">
      <w:pPr>
        <w:ind w:left="709"/>
        <w:jc w:val="center"/>
        <w:rPr>
          <w:b/>
        </w:rPr>
      </w:pP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081"/>
        <w:gridCol w:w="497"/>
        <w:gridCol w:w="2463"/>
        <w:gridCol w:w="6640"/>
        <w:gridCol w:w="1418"/>
      </w:tblGrid>
      <w:tr w:rsidR="007B6BEC" w14:paraId="1B55C71E" w14:textId="77777777" w:rsidTr="00947AC7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9D11272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BD9953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AFCCE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364EF1B4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C478A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5585B2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F6CE23" w14:textId="77777777" w:rsidR="007B6BEC" w:rsidRDefault="00947AC7" w:rsidP="00FF70BD">
            <w:pPr>
              <w:rPr>
                <w:b/>
                <w:color w:val="000000"/>
              </w:rPr>
            </w:pPr>
            <w:r w:rsidRPr="00997458">
              <w:rPr>
                <w:color w:val="000000"/>
                <w:spacing w:val="2"/>
              </w:rPr>
              <w:t>Аппарат виброакустический</w:t>
            </w:r>
            <w:r w:rsidRPr="002C4E70">
              <w:rPr>
                <w:sz w:val="20"/>
                <w:szCs w:val="20"/>
              </w:rPr>
              <w:t xml:space="preserve"> </w:t>
            </w:r>
          </w:p>
        </w:tc>
      </w:tr>
      <w:tr w:rsidR="007B41D0" w14:paraId="4F924F3D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9B49D4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96C0FC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A5FCE3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E38820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EA108A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893A9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99EFD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409A0338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F6AC0E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336736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0B3917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15ADF" w14:paraId="63775394" w14:textId="77777777" w:rsidTr="00B5365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7A4957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5C922E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60C70E" w14:textId="77777777" w:rsidR="00015ADF" w:rsidRDefault="00015ADF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6C11D7A" w14:textId="77777777" w:rsidR="00015ADF" w:rsidRPr="00997458" w:rsidRDefault="00947AC7" w:rsidP="006B5308">
            <w:pPr>
              <w:spacing w:line="256" w:lineRule="auto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Аппарат виброакустический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994D6C4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Аппарат предназначен для терапии патологических состояний, связанных с обструктивными и рестриктивными (паренхиматозными) заболеваниями легких у пациентов в условиях медицинских учреждений. </w:t>
            </w:r>
          </w:p>
          <w:p w14:paraId="0E000A61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Аппарат рассчитан как на сочетанное применение совместно с аппаратами инвазивной и неинвазивной искусственной вентиляции легких, СРАР аппаратами, аппаратами высокопоточной назальной оксигенотерапии, дыхательными тренажерами, так и на самостоятельное применение, в зависимости от патологии. Аппарат может применяться в сочетании с ингаляционной терапией, приемами постурального дренажа и кинетической терапии. </w:t>
            </w:r>
          </w:p>
          <w:p w14:paraId="329AD14E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Аппарат рассчитан на применение при лечении острых, обострении хронических заболеваний легких, а также для профилактики осложнений со стороны респираторной системы. </w:t>
            </w:r>
          </w:p>
          <w:p w14:paraId="785C5B4C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Область применения по нозологии и механизмам </w:t>
            </w:r>
            <w:r w:rsidRPr="00997458">
              <w:rPr>
                <w:color w:val="000000"/>
                <w:spacing w:val="2"/>
              </w:rPr>
              <w:lastRenderedPageBreak/>
              <w:t xml:space="preserve">воздействия: </w:t>
            </w:r>
          </w:p>
          <w:p w14:paraId="0A277B22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1.</w:t>
            </w:r>
            <w:r w:rsidRPr="00997458">
              <w:rPr>
                <w:color w:val="000000"/>
                <w:spacing w:val="2"/>
              </w:rPr>
              <w:tab/>
              <w:t>Состояния, связанные с нарушением эвакуации мокроты: обструктивная патология (ХОБЛ, бронхоэктатическая болезнь легких, бронхиты, муковисцедоз, силикозы и др.), нарушения кашлевого рефлекса центрального происхождения (пациенты нейро-инсультного профиля), состояния с нарушением кашлевого рефлекса вследствие интубации трахеи (пациенты реанимационного профиля, находящиеся на ИВЛ).</w:t>
            </w:r>
          </w:p>
          <w:p w14:paraId="27AB7908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2.</w:t>
            </w:r>
            <w:r w:rsidRPr="00997458">
              <w:rPr>
                <w:color w:val="000000"/>
                <w:spacing w:val="2"/>
              </w:rPr>
              <w:tab/>
              <w:t xml:space="preserve">Рестриктивная патология легких (паренхиматозная дыхательная недостаточность): пневмонии различной степени тяжести, локализации и генеза, первичный и вторичный респираторный дистресс-синдром, альвеолит, пневмонит. </w:t>
            </w:r>
          </w:p>
          <w:p w14:paraId="784EEBCA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3.</w:t>
            </w:r>
            <w:r w:rsidRPr="00997458">
              <w:rPr>
                <w:color w:val="000000"/>
                <w:spacing w:val="2"/>
              </w:rPr>
              <w:tab/>
              <w:t>Профилактика респираторных осложнений у тяжелых пациентов, длительно находящихся в постельном режиме, у пациентов на ИВЛ (пациенты отделений реанимации различных профилей, отделений или палат интенсивной терапии, пациенты нейро-инсультного профиля, с ЧМТ, политравмой).</w:t>
            </w:r>
          </w:p>
          <w:p w14:paraId="06B893F4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Конструкция и исполнение</w:t>
            </w:r>
          </w:p>
          <w:p w14:paraId="7210BCF2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Аппарат выполнен в виде мобильного передвижного блока на 4-х колесах с тормозным механизмом. Тип исполнения: стационарно-передвижной. Это обеспечивает возможность перемещения аппарата внутри медицинских учреждений и удобную установку в любом удобном месте для выполнения процедуры как непосредственно у кровати больного, так и в специально отведенном кабинете. </w:t>
            </w:r>
          </w:p>
          <w:p w14:paraId="072D90CB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Передвижной модуль аппарата имеет рабочий столик с подсветкой, в котором имеются гнезда для виброакустических излучателей. Над рабочим столиком расположен дисплей, с помощью которого осуществляется управление аппаратом. В комплекте с аппаратом два виброакустических излучателя, соединяющихся витым шнуром с основным модулем аппарата.</w:t>
            </w:r>
          </w:p>
          <w:p w14:paraId="7A187F67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Все электронные узлы вмонтированы в модуль. </w:t>
            </w:r>
            <w:r w:rsidRPr="00997458">
              <w:rPr>
                <w:color w:val="000000"/>
                <w:spacing w:val="2"/>
              </w:rPr>
              <w:lastRenderedPageBreak/>
              <w:t>Электронная схема выполнена на двух микропроцессорах, один отвечает за интерфейс, второй за работу генератора. Исполнительные программы хранятся на съемной флэш-карте, что позволяет легко обновлять и дополнять опционально программное обеспечение. Предусмотрена обратная связь с излучателями, обеспечивающая распознавание типа излучателя и его состояние (контакт с облучаемой поверхностью).</w:t>
            </w:r>
          </w:p>
          <w:p w14:paraId="18DC9372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Аппарат имеет два независимых параллельных канала, обеспечивающих возможность вывода сигнала с различной фазой сдвига или полностью разнотипных. Электрические сигналы, которые преобразуются излучателями в вибрацию, синтезируются цифровым способом. Форма основного несущего сигнала: синусоида, которая модулируется по частоте и амплитуде огибающей сложной формы. Конечная амплитудно-частотная характеристика волны, распространяемой по телу – нелинейная, с подъемом амплитуды на более высоких частотах и скорректирована электронным способом. Это позволяет акцентировать воздействие на более мелкие составляющие паренхимы легких, анатомически располагающиеся ближе к каркасу грудной клетки, например, при паренхиматозной дыхательной недостаточности. Наличие электронной коррекции амплитудно-частотной характеристики конечного давления в камере, постоянно изменяющаяся частота, модулирующая огибающая сложной формы с акцентами в определенных частотных поддиапазонах, обеспечивают одновременно максимальную эффективность и в тоже время защиту, за счет снижения агрессивности воздействия на более низких частотах и в резонансе.</w:t>
            </w:r>
          </w:p>
          <w:p w14:paraId="61114E29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Выходные каскады аппарата имеют встроенную тройную защиту (тепловая, токовая, по постоянной составляющей), повышающую надежность аппарата и обеспечивают защиту излучателей в случае возникновения неисправности.</w:t>
            </w:r>
          </w:p>
          <w:p w14:paraId="6FF05B40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В аппарате применена электронная схема с обратной связью с излучателями, обеспечивающая автостарт </w:t>
            </w:r>
            <w:r w:rsidRPr="00997458">
              <w:rPr>
                <w:color w:val="000000"/>
                <w:spacing w:val="2"/>
              </w:rPr>
              <w:lastRenderedPageBreak/>
              <w:t xml:space="preserve">процедуры при прикладывании излучателей к поверхности и отключению при их снятии, а также отключению неиспользованного излучателя.  </w:t>
            </w:r>
          </w:p>
          <w:p w14:paraId="72E996B7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Интерфейс пользователя</w:t>
            </w:r>
          </w:p>
          <w:p w14:paraId="0647DD0D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Интерфейс пользователя выполнен в виде цветного сенсорного экрана (размер –10 дюймов, разрешение – 1280 x 800 WSVGA), располагающегося над рабочим столиком. На сенсорном экране отображаются: клавиши быстрого старта предварительно выбранных и настроенных исполнительных программ, клавиши профиля, перечень программ в соответствии с выбранным профилем, рабочее окно исполнительной программой, графическая и текстовая информация о состоянии (активности) каждого излучателя, его типе, регулятор выходного уровня мощности, графически-цифровой таймер процедуры, сенсоры навигации. Также, интерфейс обеспечивает вывод сервисного меню с возможностью предварительной настройки, выбора языков и других сервисных функций.</w:t>
            </w:r>
          </w:p>
          <w:p w14:paraId="0DF7E4DD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Во время загрузки программного обеспечения осуществляется самотестирование аппарата, в случае обнаружения неисправности на экран выводится номер ошибки и ее расшифровка.</w:t>
            </w:r>
          </w:p>
          <w:p w14:paraId="7A139B0B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Язык интерфейса: русский.</w:t>
            </w:r>
          </w:p>
          <w:p w14:paraId="5D2FEE01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Исполнительные программы</w:t>
            </w:r>
          </w:p>
          <w:p w14:paraId="12CA83B1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Исполнительные программы обеспечивают синтез сложного сигнала в рамках основного частотного диапазона. В зависимости от требуемого эффекта программы отличаются частотными акцентами, формой модуляции основного сигнала, который обеспечивает различные эффекты: пилообразный рост или спад, перкуссия, плавные проходы в той или иной акцентируемой частотной зоне, амплитудная модуляция, амплитудный лимит, сдвиг фаз между двумя каналами и так далее. </w:t>
            </w:r>
          </w:p>
          <w:p w14:paraId="7E2AE348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Во всех программах используется синусоидальный несущий сигнал, обеспечивающий максимальную физиологичность и низкий уровень шума. Общий частотный </w:t>
            </w:r>
            <w:r w:rsidRPr="00997458">
              <w:rPr>
                <w:color w:val="000000"/>
                <w:spacing w:val="2"/>
              </w:rPr>
              <w:lastRenderedPageBreak/>
              <w:t>диапазон для всех программ, не зависимо от патологии и цели: от 20 Гц до 300 Гц. Наиболее активный частотный акцент: от 20 Гц до 60 Гц.</w:t>
            </w:r>
          </w:p>
          <w:p w14:paraId="4E5E3405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В аппарате имеется возможность обновления и дополнения исполнительных программ, которые соответствуют основным заявленным характеристикам аппарата (частотный диапазон, выходная мощность, форма несущего сигнала). </w:t>
            </w:r>
          </w:p>
          <w:p w14:paraId="0EFE8F31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Независимо от профиля/локализации, в каждом профиле предусмотрены программы, для терапии состояний с нарушением эвакуации мокроты, а также состояний с рестриктивной/паренхиматозной дыхательной недостаточностью. </w:t>
            </w:r>
          </w:p>
          <w:p w14:paraId="56C80971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Для некоторых профилей/локализаций, предусмотрены специальные программы. В профиле «Реанимация», кроме стандартных программ, обязательно присутствуют следующие исполнительные программы:</w:t>
            </w:r>
          </w:p>
          <w:p w14:paraId="531F0832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- для профилактики: сочетанные эффекты, направленные на профилактику застойной пневмонии, улучшение дренажа мокроты, ускорение гравитационного перераспределения жидкости из застойных отделов во время киненетической терапии;</w:t>
            </w:r>
          </w:p>
          <w:p w14:paraId="688A3F54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- для санации: программа, рассчитанная на стимуляцию мокротоотделения перед санацией и во время санации трахеобронхиального дерева у интубированных пациентов, в том числе при бронхоскопии;</w:t>
            </w:r>
          </w:p>
          <w:p w14:paraId="1AAC5934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- для терапии респираторного дистресс-синдрома (ARDS): сочетанное применение на фоне постоянного положительного давления в дыхательных путях, создаваемое аппаратом ИВЛ, с целью рекрутмента альвеол.</w:t>
            </w:r>
          </w:p>
          <w:p w14:paraId="60E6D1A4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Профиль/локализация</w:t>
            </w:r>
          </w:p>
          <w:p w14:paraId="120571CC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В зависимости от профиля пациента по локализации, в аппарате предусмотрены профили, в которых сохранен определенный набор исполнительных программ, соответствующих задачам данного профиля.</w:t>
            </w:r>
          </w:p>
          <w:p w14:paraId="75EB6431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Профили: «реанимация», «пульмонология», содержащие </w:t>
            </w:r>
            <w:r w:rsidRPr="00997458">
              <w:rPr>
                <w:color w:val="000000"/>
                <w:spacing w:val="2"/>
              </w:rPr>
              <w:lastRenderedPageBreak/>
              <w:t xml:space="preserve">программы для пациентов реанимационного профиля и пульмонологического. Расширение «реанимационного профиля» в отдельные профили для пациентов торакальной хирургии и кардиохирургии. </w:t>
            </w:r>
          </w:p>
          <w:p w14:paraId="626F97C5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Основные технические характеристики</w:t>
            </w:r>
          </w:p>
          <w:p w14:paraId="6E1E5707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Электропитание: стандартная электрическая сеть 220В+/- 10%, 50 Гц.</w:t>
            </w:r>
          </w:p>
          <w:p w14:paraId="1CFD880E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Максимальная потребляемая мощность: 200 Вт.</w:t>
            </w:r>
          </w:p>
          <w:p w14:paraId="455932C3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Выходная мощность каждого канала: 36 Вт +-10% (на нагрузке 4 Ом).</w:t>
            </w:r>
          </w:p>
          <w:p w14:paraId="09FD4D17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Основной частотный диапазон: 20 – 300 Гц.</w:t>
            </w:r>
          </w:p>
          <w:p w14:paraId="5583348F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Диапазон, воспроизводимый аппаратом: 10 - 20 000 Гц ± 6 dB</w:t>
            </w:r>
          </w:p>
          <w:p w14:paraId="25843D8C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Продолжительность сеанса: 300 +/- 10 сек.</w:t>
            </w:r>
          </w:p>
          <w:p w14:paraId="5D39F767" w14:textId="77777777" w:rsidR="00947AC7" w:rsidRPr="00997458" w:rsidRDefault="00947AC7" w:rsidP="00947AC7">
            <w:pPr>
              <w:ind w:firstLine="284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Количество независимых каналов:  2.</w:t>
            </w:r>
          </w:p>
          <w:p w14:paraId="13D51891" w14:textId="77777777" w:rsidR="00015ADF" w:rsidRPr="00997458" w:rsidRDefault="00947AC7" w:rsidP="00947AC7">
            <w:pPr>
              <w:spacing w:line="256" w:lineRule="auto"/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Принцип контроля контакта излучателей: оптический.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1C2699" w14:textId="77777777" w:rsidR="00015ADF" w:rsidRDefault="00015ADF" w:rsidP="00CA4154">
            <w:pPr>
              <w:snapToGrid w:val="0"/>
            </w:pPr>
          </w:p>
          <w:p w14:paraId="6001B710" w14:textId="77777777" w:rsidR="00015ADF" w:rsidRDefault="00015ADF" w:rsidP="00CA4154">
            <w:pPr>
              <w:snapToGrid w:val="0"/>
            </w:pPr>
            <w:r>
              <w:t>1 шт.</w:t>
            </w:r>
          </w:p>
          <w:p w14:paraId="3CD8C7D7" w14:textId="77777777" w:rsidR="00015ADF" w:rsidRPr="00CC0E04" w:rsidRDefault="00015ADF" w:rsidP="00CA4154">
            <w:pPr>
              <w:snapToGrid w:val="0"/>
            </w:pPr>
          </w:p>
        </w:tc>
      </w:tr>
      <w:tr w:rsidR="00015ADF" w14:paraId="65E36524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CE31C0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577C8C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51F2FB" w14:textId="77777777" w:rsidR="00015ADF" w:rsidRPr="00997458" w:rsidRDefault="00015ADF" w:rsidP="00CA4154">
            <w:pPr>
              <w:snapToGrid w:val="0"/>
              <w:rPr>
                <w:b/>
              </w:rPr>
            </w:pPr>
            <w:r w:rsidRPr="00997458">
              <w:rPr>
                <w:b/>
                <w:spacing w:val="2"/>
              </w:rPr>
              <w:t>Дополнительные комплектующие</w:t>
            </w:r>
            <w:r w:rsidR="00997458">
              <w:rPr>
                <w:b/>
                <w:spacing w:val="2"/>
              </w:rPr>
              <w:t>:</w:t>
            </w:r>
          </w:p>
        </w:tc>
      </w:tr>
      <w:tr w:rsidR="00947AC7" w14:paraId="5675D752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AC0DBD" w14:textId="77777777" w:rsidR="00947AC7" w:rsidRDefault="00947AC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97E892" w14:textId="77777777" w:rsidR="00947AC7" w:rsidRDefault="00947AC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C20BDE" w14:textId="77777777" w:rsidR="00947AC7" w:rsidRPr="000265A1" w:rsidRDefault="00947AC7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4E33E4" w14:textId="77777777" w:rsidR="00947AC7" w:rsidRPr="00997458" w:rsidRDefault="00947AC7" w:rsidP="009C0AD9">
            <w:pPr>
              <w:pStyle w:val="20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97458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Кабель защитного заземления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2298F91" w14:textId="77777777" w:rsidR="00947AC7" w:rsidRPr="00997458" w:rsidRDefault="00947AC7" w:rsidP="009C0AD9">
            <w:pPr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Кабель защитного заземления предназначен для заземления корпуса аппарата, в случае если аппарат подключается к нестандартной двух контактной незаземленной розетке.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756A24" w14:textId="77777777" w:rsidR="00947AC7" w:rsidRDefault="00947AC7" w:rsidP="00C37B97">
            <w:pPr>
              <w:spacing w:line="256" w:lineRule="auto"/>
              <w:jc w:val="center"/>
            </w:pPr>
            <w:r>
              <w:t>1 шт.</w:t>
            </w:r>
          </w:p>
        </w:tc>
      </w:tr>
      <w:tr w:rsidR="00947AC7" w14:paraId="76699E4A" w14:textId="77777777" w:rsidTr="00BA707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D24287" w14:textId="77777777" w:rsidR="00947AC7" w:rsidRDefault="00947AC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4EF16F" w14:textId="77777777" w:rsidR="00947AC7" w:rsidRDefault="00947AC7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91189A" w14:textId="77777777" w:rsidR="00947AC7" w:rsidRPr="00997458" w:rsidRDefault="00947AC7" w:rsidP="00947AC7">
            <w:pPr>
              <w:spacing w:line="256" w:lineRule="auto"/>
              <w:rPr>
                <w:b/>
                <w:color w:val="000000"/>
                <w:spacing w:val="2"/>
              </w:rPr>
            </w:pPr>
            <w:r w:rsidRPr="00997458">
              <w:rPr>
                <w:b/>
                <w:color w:val="000000"/>
                <w:spacing w:val="2"/>
              </w:rPr>
              <w:t>Расходные материалы и изнашиваемые узлы:</w:t>
            </w:r>
          </w:p>
        </w:tc>
      </w:tr>
      <w:tr w:rsidR="00947AC7" w14:paraId="62595A61" w14:textId="77777777" w:rsidTr="00E9720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EA6EA0" w14:textId="77777777" w:rsidR="00947AC7" w:rsidRDefault="00947AC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A2BFC6" w14:textId="77777777" w:rsidR="00947AC7" w:rsidRDefault="00947AC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A3EBFD" w14:textId="77777777" w:rsidR="00947AC7" w:rsidRPr="000265A1" w:rsidRDefault="00947AC7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A139AE" w14:textId="77777777" w:rsidR="00947AC7" w:rsidRPr="002C4E70" w:rsidRDefault="00947AC7" w:rsidP="009C0AD9">
            <w:pPr>
              <w:pStyle w:val="20"/>
              <w:tabs>
                <w:tab w:val="left" w:pos="6803"/>
              </w:tabs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97458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Излучатель виброакустический универсальный (взрослый)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92E89ED" w14:textId="77777777" w:rsidR="00947AC7" w:rsidRPr="00997458" w:rsidRDefault="00947AC7" w:rsidP="009C0AD9">
            <w:pPr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Виброакустические излучатели имеют специальную конструкцию, обеспечивающую максимально эффективность при виброакустическом массаже легких. Одновременно, конструктивная часть рабочей поверхности, спроектирована специально под эластичные насадки, обеспечивающие комфортное для пациента восприятие вибрации и благодаря этому же мембрана излучателя не имеет прямого контакта с облучаемой поверхностью, что обеспечивает создание между мембраной и поверхностью грудной клетки камеры повышенного акустического давления. Благодаря этому, а также большой площади охвата, при достаточно высокой мощности воздействия, обеспечивается достаточно мягкое и комфортное восприятие процедуры пациентами. Наличие </w:t>
            </w:r>
            <w:r w:rsidRPr="00997458">
              <w:rPr>
                <w:color w:val="000000"/>
                <w:spacing w:val="2"/>
              </w:rPr>
              <w:lastRenderedPageBreak/>
              <w:t xml:space="preserve">возможности работы через слои тканей, одежды, медицинского материала. </w:t>
            </w:r>
          </w:p>
          <w:p w14:paraId="596E0809" w14:textId="77777777" w:rsidR="00947AC7" w:rsidRPr="00997458" w:rsidRDefault="00947AC7" w:rsidP="009C0AD9">
            <w:pPr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 xml:space="preserve">Каждый излучатель оснащен дополнительной оптической системой, которая обеспечивает автоматическое отключение излучателя при плохом контакте с поверхностью тела пациента или при его полном отсутствии. Это предупреждает преждевременный износ излучателя, а также используется в обратной связи управления процедурой, для автоматического включения и выключения паузы, например, при смене расположения излучателей. Виброакустические излучатели подключаются к аппарату с помощью витого кабеля и разъемов с надежной резьбовой фиксацией, что обеспечивает возможность работы с излучателями на удалении от аппарата до трех метров, а также их отключение или смену при необходимости. </w:t>
            </w:r>
          </w:p>
          <w:p w14:paraId="6D373149" w14:textId="77777777" w:rsidR="00947AC7" w:rsidRPr="00997458" w:rsidRDefault="00947AC7" w:rsidP="009C0AD9">
            <w:pPr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Основные характеристики излучателя</w:t>
            </w:r>
          </w:p>
          <w:p w14:paraId="796AAC8F" w14:textId="77777777" w:rsidR="00947AC7" w:rsidRPr="00997458" w:rsidRDefault="00947AC7" w:rsidP="009C0AD9">
            <w:pPr>
              <w:jc w:val="both"/>
              <w:rPr>
                <w:color w:val="000000"/>
                <w:spacing w:val="2"/>
              </w:rPr>
            </w:pPr>
            <w:r w:rsidRPr="00997458">
              <w:rPr>
                <w:color w:val="000000"/>
                <w:spacing w:val="2"/>
              </w:rPr>
              <w:t>Максимальная амплитуда колебаний мембраны излучателя: +/- 1 см</w:t>
            </w:r>
          </w:p>
          <w:p w14:paraId="0C6AF1A6" w14:textId="77777777" w:rsidR="00947AC7" w:rsidRPr="00997458" w:rsidRDefault="00947AC7" w:rsidP="009C0AD9">
            <w:pPr>
              <w:pStyle w:val="10"/>
              <w:rPr>
                <w:color w:val="000000"/>
                <w:spacing w:val="2"/>
                <w:sz w:val="24"/>
                <w:szCs w:val="24"/>
              </w:rPr>
            </w:pPr>
            <w:r w:rsidRPr="00997458">
              <w:rPr>
                <w:color w:val="000000"/>
                <w:spacing w:val="2"/>
                <w:sz w:val="24"/>
                <w:szCs w:val="24"/>
              </w:rPr>
              <w:t>Максимальная длина витого кабеля излучателя с двойной изоляцией в вытянутом состоянии:  3 метра.</w:t>
            </w:r>
          </w:p>
          <w:p w14:paraId="7DC51EFB" w14:textId="77777777" w:rsidR="00947AC7" w:rsidRPr="00997458" w:rsidRDefault="00947AC7" w:rsidP="009C0AD9">
            <w:pPr>
              <w:pStyle w:val="10"/>
              <w:rPr>
                <w:color w:val="000000"/>
                <w:spacing w:val="2"/>
                <w:sz w:val="24"/>
                <w:szCs w:val="24"/>
              </w:rPr>
            </w:pPr>
            <w:r w:rsidRPr="00997458">
              <w:rPr>
                <w:color w:val="000000"/>
                <w:spacing w:val="2"/>
                <w:sz w:val="24"/>
                <w:szCs w:val="24"/>
              </w:rPr>
              <w:t>Электроизоляция шнура: двойная.</w:t>
            </w:r>
          </w:p>
          <w:p w14:paraId="0E426D6F" w14:textId="77777777" w:rsidR="00947AC7" w:rsidRPr="00997458" w:rsidRDefault="00947AC7" w:rsidP="009C0AD9">
            <w:pPr>
              <w:pStyle w:val="10"/>
              <w:rPr>
                <w:color w:val="000000"/>
                <w:spacing w:val="2"/>
                <w:sz w:val="24"/>
                <w:szCs w:val="24"/>
              </w:rPr>
            </w:pPr>
            <w:r w:rsidRPr="00997458">
              <w:rPr>
                <w:color w:val="000000"/>
                <w:spacing w:val="2"/>
                <w:sz w:val="24"/>
                <w:szCs w:val="24"/>
              </w:rPr>
              <w:t xml:space="preserve">Диаметр излучателя с уплотнительной насадкой –145 мм. Является расходным материалом. </w:t>
            </w:r>
            <w:r w:rsidRPr="009623ED">
              <w:rPr>
                <w:color w:val="000000"/>
                <w:spacing w:val="2"/>
                <w:sz w:val="24"/>
                <w:szCs w:val="24"/>
              </w:rPr>
              <w:t>Гарантия на виброакустический излучатель –12 месяцев.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56D04AE" w14:textId="77777777" w:rsidR="00947AC7" w:rsidRDefault="00947AC7" w:rsidP="00C37B97">
            <w:pPr>
              <w:spacing w:line="256" w:lineRule="auto"/>
              <w:jc w:val="center"/>
            </w:pPr>
            <w:r>
              <w:lastRenderedPageBreak/>
              <w:t>2 шт.</w:t>
            </w:r>
          </w:p>
        </w:tc>
      </w:tr>
      <w:tr w:rsidR="00015ADF" w14:paraId="738DE578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ED2CE8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E088CF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ED66D0" w14:textId="77777777" w:rsidR="00015ADF" w:rsidRPr="006D5FCE" w:rsidRDefault="00947AC7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015ADF" w14:paraId="78A34B7B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A9175E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F244D7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47E831" w14:textId="7BA9FCA4" w:rsidR="00015ADF" w:rsidRDefault="00015ADF" w:rsidP="00947AC7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 w:rsidR="00947AC7">
              <w:rPr>
                <w:color w:val="000000"/>
                <w:spacing w:val="2"/>
                <w:sz w:val="22"/>
                <w:szCs w:val="22"/>
              </w:rPr>
              <w:t>улица</w:t>
            </w:r>
            <w:r w:rsidR="00D3009E">
              <w:rPr>
                <w:color w:val="000000"/>
                <w:spacing w:val="2"/>
                <w:sz w:val="22"/>
                <w:szCs w:val="22"/>
              </w:rPr>
              <w:t xml:space="preserve"> Р.</w:t>
            </w:r>
            <w:r w:rsidR="00947AC7">
              <w:rPr>
                <w:color w:val="000000"/>
                <w:spacing w:val="2"/>
                <w:sz w:val="22"/>
                <w:szCs w:val="22"/>
              </w:rPr>
              <w:t xml:space="preserve"> Сабатаева 1</w:t>
            </w:r>
          </w:p>
        </w:tc>
      </w:tr>
      <w:tr w:rsidR="00015ADF" w14:paraId="03ECC49E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93A9EB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EA6D11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671710" w14:textId="349E9432" w:rsidR="00015ADF" w:rsidRDefault="000C0549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3</w:t>
            </w:r>
            <w:r w:rsidR="00015ADF" w:rsidRPr="00DA6007">
              <w:rPr>
                <w:color w:val="000000"/>
                <w:spacing w:val="2"/>
                <w:sz w:val="22"/>
                <w:szCs w:val="22"/>
              </w:rPr>
              <w:t>0 календарных дней</w:t>
            </w:r>
            <w:r w:rsidR="00D3009E">
              <w:rPr>
                <w:color w:val="000000"/>
                <w:spacing w:val="2"/>
                <w:sz w:val="22"/>
                <w:szCs w:val="22"/>
              </w:rPr>
              <w:t xml:space="preserve"> с даты заключения договора.</w:t>
            </w:r>
            <w:r w:rsidR="00015ADF"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 w:rsidR="00947AC7">
              <w:rPr>
                <w:color w:val="000000"/>
                <w:spacing w:val="2"/>
                <w:sz w:val="22"/>
                <w:szCs w:val="22"/>
              </w:rPr>
              <w:t xml:space="preserve">улица </w:t>
            </w:r>
            <w:r w:rsidR="00D3009E">
              <w:rPr>
                <w:color w:val="000000"/>
                <w:spacing w:val="2"/>
                <w:sz w:val="22"/>
                <w:szCs w:val="22"/>
              </w:rPr>
              <w:t xml:space="preserve">Р. </w:t>
            </w:r>
            <w:r w:rsidR="00947AC7">
              <w:rPr>
                <w:color w:val="000000"/>
                <w:spacing w:val="2"/>
                <w:sz w:val="22"/>
                <w:szCs w:val="22"/>
              </w:rPr>
              <w:t>Сабатаева 1</w:t>
            </w:r>
          </w:p>
        </w:tc>
      </w:tr>
      <w:tr w:rsidR="00015ADF" w14:paraId="5A3B30F4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3F81FE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6AC7A2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79944E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15ADF" w14:paraId="3778733B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D1D875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69D5D9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3DBB66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224B2288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</w:t>
            </w:r>
            <w:r>
              <w:rPr>
                <w:color w:val="000000"/>
                <w:spacing w:val="2"/>
              </w:rPr>
              <w:lastRenderedPageBreak/>
              <w:t>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2E95E46" w14:textId="77777777" w:rsidR="008A06A7" w:rsidRDefault="008A06A7">
      <w:pPr>
        <w:rPr>
          <w:lang w:val="kk-KZ"/>
        </w:rPr>
      </w:pPr>
    </w:p>
    <w:p w14:paraId="6DD273FA" w14:textId="77777777" w:rsidR="000C0549" w:rsidRDefault="000C0549">
      <w:pPr>
        <w:rPr>
          <w:lang w:val="kk-KZ"/>
        </w:rPr>
      </w:pPr>
    </w:p>
    <w:p w14:paraId="3DB821C6" w14:textId="58AABAAD" w:rsidR="000C0549" w:rsidRPr="000C0549" w:rsidRDefault="000C0549">
      <w:r>
        <w:rPr>
          <w:lang w:val="kk-KZ"/>
        </w:rPr>
        <w:t xml:space="preserve">Заведующая </w:t>
      </w:r>
      <w:r w:rsidR="00947AC7">
        <w:rPr>
          <w:lang w:val="kk-KZ"/>
        </w:rPr>
        <w:t>ОАРИТ Сарыбаева И.</w:t>
      </w:r>
      <w:r w:rsidR="00D3009E">
        <w:rPr>
          <w:lang w:val="kk-KZ"/>
        </w:rPr>
        <w:t xml:space="preserve"> </w:t>
      </w:r>
      <w:r w:rsidR="00947AC7">
        <w:rPr>
          <w:lang w:val="kk-KZ"/>
        </w:rPr>
        <w:t>К.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C0549"/>
    <w:rsid w:val="001022B3"/>
    <w:rsid w:val="00103E0D"/>
    <w:rsid w:val="002324CB"/>
    <w:rsid w:val="0028467E"/>
    <w:rsid w:val="00384235"/>
    <w:rsid w:val="004770D1"/>
    <w:rsid w:val="00495F58"/>
    <w:rsid w:val="006A22B9"/>
    <w:rsid w:val="006B5308"/>
    <w:rsid w:val="006D5FCE"/>
    <w:rsid w:val="007B41D0"/>
    <w:rsid w:val="007B6BEC"/>
    <w:rsid w:val="007E4884"/>
    <w:rsid w:val="008A06A7"/>
    <w:rsid w:val="00947AC7"/>
    <w:rsid w:val="009623ED"/>
    <w:rsid w:val="00970D29"/>
    <w:rsid w:val="00991204"/>
    <w:rsid w:val="00997458"/>
    <w:rsid w:val="00A10791"/>
    <w:rsid w:val="00A96696"/>
    <w:rsid w:val="00CA29CC"/>
    <w:rsid w:val="00D3009E"/>
    <w:rsid w:val="00D67D32"/>
    <w:rsid w:val="00DA6007"/>
    <w:rsid w:val="00E439E6"/>
    <w:rsid w:val="00E96BE7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7C8C"/>
  <w15:docId w15:val="{16F93E1B-FDAC-4667-B754-03350260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21</cp:revision>
  <cp:lastPrinted>2024-04-11T12:38:00Z</cp:lastPrinted>
  <dcterms:created xsi:type="dcterms:W3CDTF">2023-05-05T09:43:00Z</dcterms:created>
  <dcterms:modified xsi:type="dcterms:W3CDTF">2024-04-16T11:43:00Z</dcterms:modified>
</cp:coreProperties>
</file>